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FD21B" w14:textId="29AC69C7" w:rsidR="00647B58" w:rsidRPr="00CA6CE1" w:rsidRDefault="006F12F4" w:rsidP="00807DA2">
      <w:pPr>
        <w:pStyle w:val="ListParagraph"/>
        <w:numPr>
          <w:ilvl w:val="0"/>
          <w:numId w:val="5"/>
        </w:numPr>
        <w:tabs>
          <w:tab w:val="left" w:pos="580"/>
        </w:tabs>
        <w:spacing w:before="240"/>
        <w:ind w:left="357" w:right="0" w:hanging="357"/>
        <w:jc w:val="both"/>
        <w:rPr>
          <w:rFonts w:ascii="Arial" w:hAnsi="Arial" w:cs="Arial"/>
        </w:rPr>
      </w:pPr>
      <w:r w:rsidRPr="00CA6CE1">
        <w:rPr>
          <w:rFonts w:ascii="Arial" w:hAnsi="Arial" w:cs="Arial"/>
        </w:rPr>
        <w:t>The Paradise Dam Commission of Inquiry (Commission) was established on 6 December 2019 to inquire into the root causes of structural and stability issues identified in engineering and technical studies conducted between 30 January 2013 and 30 November 2019 on Paradise Dam (the Dam). The Commission delivered its report to the Premier</w:t>
      </w:r>
      <w:r w:rsidRPr="00CA6CE1">
        <w:rPr>
          <w:rFonts w:ascii="Arial" w:hAnsi="Arial" w:cs="Arial"/>
          <w:spacing w:val="-39"/>
        </w:rPr>
        <w:t xml:space="preserve"> </w:t>
      </w:r>
      <w:r w:rsidRPr="00CA6CE1">
        <w:rPr>
          <w:rFonts w:ascii="Arial" w:hAnsi="Arial" w:cs="Arial"/>
        </w:rPr>
        <w:t>and Minister for Trade and the Minister for Natural Resources, Mines and Energy on 30</w:t>
      </w:r>
      <w:r w:rsidR="00807DA2">
        <w:rPr>
          <w:rFonts w:ascii="Arial" w:hAnsi="Arial" w:cs="Arial"/>
        </w:rPr>
        <w:t xml:space="preserve"> </w:t>
      </w:r>
      <w:r w:rsidRPr="00CA6CE1">
        <w:rPr>
          <w:rFonts w:ascii="Arial" w:hAnsi="Arial" w:cs="Arial"/>
        </w:rPr>
        <w:t>April 2020.</w:t>
      </w:r>
    </w:p>
    <w:p w14:paraId="768FD21D" w14:textId="77777777" w:rsidR="00647B58" w:rsidRPr="00CA6CE1" w:rsidRDefault="006F12F4" w:rsidP="00807DA2">
      <w:pPr>
        <w:pStyle w:val="ListParagraph"/>
        <w:numPr>
          <w:ilvl w:val="0"/>
          <w:numId w:val="5"/>
        </w:numPr>
        <w:tabs>
          <w:tab w:val="left" w:pos="580"/>
        </w:tabs>
        <w:spacing w:before="240"/>
        <w:ind w:left="357" w:right="0" w:hanging="357"/>
        <w:jc w:val="both"/>
        <w:rPr>
          <w:rFonts w:ascii="Arial" w:hAnsi="Arial" w:cs="Arial"/>
        </w:rPr>
      </w:pPr>
      <w:r w:rsidRPr="00CA6CE1">
        <w:rPr>
          <w:rFonts w:ascii="Arial" w:hAnsi="Arial" w:cs="Arial"/>
        </w:rPr>
        <w:t>The Commission explored the issue of sliding stability of the Dam, and found that in circumstances no more severe than previous flood events in 2011 and 2013, the Dam is stable, however, there is uncertainty about whether or not the Dam could withstand larger floods.</w:t>
      </w:r>
    </w:p>
    <w:p w14:paraId="768FD21F" w14:textId="77777777" w:rsidR="00647B58" w:rsidRPr="00CA6CE1" w:rsidRDefault="006F12F4" w:rsidP="00807DA2">
      <w:pPr>
        <w:pStyle w:val="ListParagraph"/>
        <w:numPr>
          <w:ilvl w:val="0"/>
          <w:numId w:val="5"/>
        </w:numPr>
        <w:tabs>
          <w:tab w:val="left" w:pos="580"/>
        </w:tabs>
        <w:spacing w:before="240"/>
        <w:ind w:left="357" w:right="0" w:hanging="357"/>
        <w:jc w:val="both"/>
        <w:rPr>
          <w:rFonts w:ascii="Arial" w:hAnsi="Arial" w:cs="Arial"/>
        </w:rPr>
      </w:pPr>
      <w:r w:rsidRPr="00CA6CE1">
        <w:rPr>
          <w:rFonts w:ascii="Arial" w:hAnsi="Arial" w:cs="Arial"/>
        </w:rPr>
        <w:t>The Commission also examined the damage, scouring and erosion which occurred immediately downstream of the Dam during the 2013 flood event and found a root cause of these issues to be the primary spillway apron’s insufficient 20 metre</w:t>
      </w:r>
      <w:r w:rsidRPr="00CA6CE1">
        <w:rPr>
          <w:rFonts w:ascii="Arial" w:hAnsi="Arial" w:cs="Arial"/>
          <w:spacing w:val="-8"/>
        </w:rPr>
        <w:t xml:space="preserve"> </w:t>
      </w:r>
      <w:r w:rsidRPr="00CA6CE1">
        <w:rPr>
          <w:rFonts w:ascii="Arial" w:hAnsi="Arial" w:cs="Arial"/>
        </w:rPr>
        <w:t>width.</w:t>
      </w:r>
    </w:p>
    <w:p w14:paraId="768FD221" w14:textId="77777777" w:rsidR="00647B58" w:rsidRPr="00CA6CE1" w:rsidRDefault="006F12F4" w:rsidP="00807DA2">
      <w:pPr>
        <w:pStyle w:val="ListParagraph"/>
        <w:numPr>
          <w:ilvl w:val="0"/>
          <w:numId w:val="5"/>
        </w:numPr>
        <w:tabs>
          <w:tab w:val="left" w:pos="580"/>
        </w:tabs>
        <w:spacing w:before="240"/>
        <w:ind w:left="357" w:right="0" w:hanging="357"/>
        <w:jc w:val="both"/>
        <w:rPr>
          <w:rFonts w:ascii="Arial" w:hAnsi="Arial" w:cs="Arial"/>
        </w:rPr>
      </w:pPr>
      <w:r w:rsidRPr="00CA6CE1">
        <w:rPr>
          <w:rFonts w:ascii="Arial" w:hAnsi="Arial" w:cs="Arial"/>
        </w:rPr>
        <w:t>The Commission Report contains eight recommendations addressing matters relating to independent verification of critical design parameters, independent technical review and peer review of referable dam projects; the monitoring and compliance framework of the dam safety regulatory framework and the delivery model for dam</w:t>
      </w:r>
      <w:r w:rsidRPr="00CA6CE1">
        <w:rPr>
          <w:rFonts w:ascii="Arial" w:hAnsi="Arial" w:cs="Arial"/>
          <w:spacing w:val="-4"/>
        </w:rPr>
        <w:t xml:space="preserve"> </w:t>
      </w:r>
      <w:r w:rsidRPr="00CA6CE1">
        <w:rPr>
          <w:rFonts w:ascii="Arial" w:hAnsi="Arial" w:cs="Arial"/>
        </w:rPr>
        <w:t>projects.</w:t>
      </w:r>
    </w:p>
    <w:p w14:paraId="768FD224" w14:textId="5355FD12" w:rsidR="00647B58" w:rsidRPr="005A19EE" w:rsidRDefault="006F12F4" w:rsidP="00807DA2">
      <w:pPr>
        <w:pStyle w:val="ListParagraph"/>
        <w:numPr>
          <w:ilvl w:val="0"/>
          <w:numId w:val="5"/>
        </w:numPr>
        <w:tabs>
          <w:tab w:val="left" w:pos="580"/>
        </w:tabs>
        <w:spacing w:before="240"/>
        <w:ind w:left="357" w:right="0" w:hanging="357"/>
        <w:jc w:val="both"/>
        <w:rPr>
          <w:rFonts w:ascii="Arial" w:hAnsi="Arial" w:cs="Arial"/>
        </w:rPr>
      </w:pPr>
      <w:r w:rsidRPr="005A66A3">
        <w:rPr>
          <w:rFonts w:ascii="Arial" w:hAnsi="Arial" w:cs="Arial"/>
          <w:u w:val="single"/>
        </w:rPr>
        <w:t>Cabinet</w:t>
      </w:r>
      <w:r w:rsidR="005A19EE" w:rsidRPr="005A66A3">
        <w:rPr>
          <w:rFonts w:ascii="Arial" w:hAnsi="Arial" w:cs="Arial"/>
          <w:u w:val="single"/>
        </w:rPr>
        <w:t xml:space="preserve"> </w:t>
      </w:r>
      <w:r w:rsidRPr="005A66A3">
        <w:rPr>
          <w:rFonts w:ascii="Arial" w:hAnsi="Arial" w:cs="Arial"/>
          <w:u w:val="single"/>
        </w:rPr>
        <w:t>noted</w:t>
      </w:r>
      <w:r w:rsidRPr="005A19EE">
        <w:rPr>
          <w:rFonts w:ascii="Arial" w:hAnsi="Arial" w:cs="Arial"/>
          <w:b/>
        </w:rPr>
        <w:t xml:space="preserve"> </w:t>
      </w:r>
      <w:r w:rsidRPr="005A19EE">
        <w:rPr>
          <w:rFonts w:ascii="Arial" w:hAnsi="Arial" w:cs="Arial"/>
        </w:rPr>
        <w:t>the Paradise Dam Commission of Inquiry Report April 2020, which was delivered to the Premier and Minister for Trade and the Minister for Natural Resources, Mines and Energy on 30 April</w:t>
      </w:r>
      <w:r w:rsidRPr="005A19EE">
        <w:rPr>
          <w:rFonts w:ascii="Arial" w:hAnsi="Arial" w:cs="Arial"/>
          <w:spacing w:val="-1"/>
        </w:rPr>
        <w:t xml:space="preserve"> </w:t>
      </w:r>
      <w:r w:rsidRPr="005A19EE">
        <w:rPr>
          <w:rFonts w:ascii="Arial" w:hAnsi="Arial" w:cs="Arial"/>
        </w:rPr>
        <w:t>2020.</w:t>
      </w:r>
    </w:p>
    <w:p w14:paraId="768FD225" w14:textId="251377F1" w:rsidR="00647B58" w:rsidRPr="005A19EE" w:rsidRDefault="0095511D" w:rsidP="00807DA2">
      <w:pPr>
        <w:pStyle w:val="ListParagraph"/>
        <w:numPr>
          <w:ilvl w:val="0"/>
          <w:numId w:val="5"/>
        </w:numPr>
        <w:tabs>
          <w:tab w:val="left" w:pos="580"/>
        </w:tabs>
        <w:spacing w:before="240"/>
        <w:ind w:left="357" w:right="0" w:hanging="357"/>
        <w:jc w:val="both"/>
        <w:rPr>
          <w:rFonts w:ascii="Arial" w:hAnsi="Arial" w:cs="Arial"/>
        </w:rPr>
      </w:pPr>
      <w:r>
        <w:rPr>
          <w:rFonts w:ascii="Arial" w:hAnsi="Arial" w:cs="Arial"/>
          <w:u w:val="single"/>
        </w:rPr>
        <w:t xml:space="preserve">Cabinet </w:t>
      </w:r>
      <w:r w:rsidR="006F12F4" w:rsidRPr="0095511D">
        <w:rPr>
          <w:rFonts w:ascii="Arial" w:hAnsi="Arial" w:cs="Arial"/>
          <w:u w:val="single"/>
        </w:rPr>
        <w:t>approved</w:t>
      </w:r>
      <w:r w:rsidR="006F12F4" w:rsidRPr="005A19EE">
        <w:rPr>
          <w:rFonts w:ascii="Arial" w:hAnsi="Arial" w:cs="Arial"/>
          <w:b/>
        </w:rPr>
        <w:t xml:space="preserve"> </w:t>
      </w:r>
      <w:r w:rsidR="006F12F4" w:rsidRPr="005A19EE">
        <w:rPr>
          <w:rFonts w:ascii="Arial" w:hAnsi="Arial" w:cs="Arial"/>
        </w:rPr>
        <w:t>the Queensland Government Response to the Paradise Dam Commission of Inquiry Report April</w:t>
      </w:r>
      <w:r w:rsidR="006F12F4" w:rsidRPr="005A19EE">
        <w:rPr>
          <w:rFonts w:ascii="Arial" w:hAnsi="Arial" w:cs="Arial"/>
          <w:spacing w:val="-1"/>
        </w:rPr>
        <w:t xml:space="preserve"> </w:t>
      </w:r>
      <w:r w:rsidR="006F12F4" w:rsidRPr="005A19EE">
        <w:rPr>
          <w:rFonts w:ascii="Arial" w:hAnsi="Arial" w:cs="Arial"/>
        </w:rPr>
        <w:t>2020.</w:t>
      </w:r>
    </w:p>
    <w:p w14:paraId="768FD226" w14:textId="12AC005D" w:rsidR="00647B58" w:rsidRPr="005A19EE" w:rsidRDefault="0095511D" w:rsidP="00807DA2">
      <w:pPr>
        <w:pStyle w:val="ListParagraph"/>
        <w:numPr>
          <w:ilvl w:val="0"/>
          <w:numId w:val="5"/>
        </w:numPr>
        <w:tabs>
          <w:tab w:val="left" w:pos="580"/>
        </w:tabs>
        <w:spacing w:before="240"/>
        <w:ind w:left="357" w:right="0" w:hanging="357"/>
        <w:jc w:val="both"/>
        <w:rPr>
          <w:rFonts w:ascii="Arial" w:hAnsi="Arial" w:cs="Arial"/>
        </w:rPr>
      </w:pPr>
      <w:r>
        <w:rPr>
          <w:rFonts w:ascii="Arial" w:hAnsi="Arial" w:cs="Arial"/>
          <w:u w:val="single"/>
        </w:rPr>
        <w:t xml:space="preserve">Cabinet </w:t>
      </w:r>
      <w:r w:rsidR="006F12F4" w:rsidRPr="0095511D">
        <w:rPr>
          <w:rFonts w:ascii="Arial" w:hAnsi="Arial" w:cs="Arial"/>
          <w:u w:val="single"/>
        </w:rPr>
        <w:t>approved</w:t>
      </w:r>
      <w:r w:rsidR="006F12F4" w:rsidRPr="005A19EE">
        <w:rPr>
          <w:rFonts w:ascii="Arial" w:hAnsi="Arial" w:cs="Arial"/>
          <w:b/>
        </w:rPr>
        <w:t xml:space="preserve"> </w:t>
      </w:r>
      <w:r w:rsidR="006F12F4" w:rsidRPr="005A19EE">
        <w:rPr>
          <w:rFonts w:ascii="Arial" w:hAnsi="Arial" w:cs="Arial"/>
        </w:rPr>
        <w:t>the tabling in Parliament of the Paradise Dam Commission of Inquiry Report and the release of the Government</w:t>
      </w:r>
      <w:r w:rsidR="006F12F4" w:rsidRPr="005A19EE">
        <w:rPr>
          <w:rFonts w:ascii="Arial" w:hAnsi="Arial" w:cs="Arial"/>
          <w:spacing w:val="-5"/>
        </w:rPr>
        <w:t xml:space="preserve"> </w:t>
      </w:r>
      <w:r w:rsidR="006F12F4" w:rsidRPr="005A19EE">
        <w:rPr>
          <w:rFonts w:ascii="Arial" w:hAnsi="Arial" w:cs="Arial"/>
        </w:rPr>
        <w:t>Response.</w:t>
      </w:r>
    </w:p>
    <w:p w14:paraId="6773A33F" w14:textId="0714C4BC" w:rsidR="00630637" w:rsidRDefault="00F14F8C" w:rsidP="00807DA2">
      <w:pPr>
        <w:pStyle w:val="ListParagraph"/>
        <w:numPr>
          <w:ilvl w:val="0"/>
          <w:numId w:val="5"/>
        </w:numPr>
        <w:tabs>
          <w:tab w:val="left" w:pos="580"/>
        </w:tabs>
        <w:spacing w:before="360"/>
        <w:ind w:left="357" w:right="0" w:hanging="357"/>
        <w:rPr>
          <w:rFonts w:ascii="Arial" w:hAnsi="Arial" w:cs="Arial"/>
        </w:rPr>
      </w:pPr>
      <w:r w:rsidRPr="00D736E0">
        <w:rPr>
          <w:rFonts w:ascii="Arial" w:hAnsi="Arial" w:cs="Arial"/>
          <w:i/>
          <w:u w:val="single"/>
        </w:rPr>
        <w:t>Attachments</w:t>
      </w:r>
    </w:p>
    <w:p w14:paraId="6D49D6EE" w14:textId="3233CCD4" w:rsidR="00F14F8C" w:rsidRDefault="007D3C60" w:rsidP="00807DA2">
      <w:pPr>
        <w:pStyle w:val="ListParagraph"/>
        <w:numPr>
          <w:ilvl w:val="0"/>
          <w:numId w:val="4"/>
        </w:numPr>
        <w:tabs>
          <w:tab w:val="left" w:pos="578"/>
        </w:tabs>
        <w:spacing w:before="120"/>
        <w:ind w:left="714" w:hanging="357"/>
        <w:rPr>
          <w:rFonts w:ascii="Arial" w:hAnsi="Arial" w:cs="Arial"/>
        </w:rPr>
      </w:pPr>
      <w:hyperlink r:id="rId10" w:history="1">
        <w:r w:rsidR="00F14F8C" w:rsidRPr="00F67156">
          <w:rPr>
            <w:rStyle w:val="Hyperlink"/>
            <w:rFonts w:ascii="Arial" w:hAnsi="Arial" w:cs="Arial"/>
          </w:rPr>
          <w:t>Paradise Dam Commission of Inquiry Report, April 2020</w:t>
        </w:r>
      </w:hyperlink>
    </w:p>
    <w:p w14:paraId="14DE7E93" w14:textId="6F1F42A9" w:rsidR="00F14F8C" w:rsidRPr="00F14F8C" w:rsidRDefault="007D3C60" w:rsidP="00807DA2">
      <w:pPr>
        <w:pStyle w:val="ListParagraph"/>
        <w:numPr>
          <w:ilvl w:val="0"/>
          <w:numId w:val="4"/>
        </w:numPr>
        <w:tabs>
          <w:tab w:val="left" w:pos="578"/>
        </w:tabs>
        <w:spacing w:before="120"/>
        <w:ind w:left="714" w:hanging="357"/>
        <w:rPr>
          <w:rFonts w:ascii="Arial" w:hAnsi="Arial" w:cs="Arial"/>
        </w:rPr>
      </w:pPr>
      <w:hyperlink r:id="rId11" w:history="1">
        <w:r w:rsidR="00F14F8C" w:rsidRPr="00F67156">
          <w:rPr>
            <w:rStyle w:val="Hyperlink"/>
            <w:rFonts w:ascii="Arial" w:hAnsi="Arial" w:cs="Arial"/>
          </w:rPr>
          <w:t xml:space="preserve">Government Response to the </w:t>
        </w:r>
        <w:r w:rsidR="00D427C0" w:rsidRPr="00F67156">
          <w:rPr>
            <w:rStyle w:val="Hyperlink"/>
            <w:rFonts w:ascii="Arial" w:hAnsi="Arial" w:cs="Arial"/>
          </w:rPr>
          <w:t>Paradise Dam Commission of Inquiry Report, April 2020</w:t>
        </w:r>
      </w:hyperlink>
    </w:p>
    <w:sectPr w:rsidR="00F14F8C" w:rsidRPr="00F14F8C" w:rsidSect="00BC0A1C">
      <w:headerReference w:type="default" r:id="rId12"/>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5A71" w14:textId="77777777" w:rsidR="00712D54" w:rsidRDefault="00712D54" w:rsidP="00CA6CE1">
      <w:r>
        <w:separator/>
      </w:r>
    </w:p>
  </w:endnote>
  <w:endnote w:type="continuationSeparator" w:id="0">
    <w:p w14:paraId="60EC5F0D" w14:textId="77777777" w:rsidR="00712D54" w:rsidRDefault="00712D54" w:rsidP="00CA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73BE8" w14:textId="77777777" w:rsidR="00712D54" w:rsidRDefault="00712D54" w:rsidP="00CA6CE1">
      <w:r>
        <w:separator/>
      </w:r>
    </w:p>
  </w:footnote>
  <w:footnote w:type="continuationSeparator" w:id="0">
    <w:p w14:paraId="23F2C102" w14:textId="77777777" w:rsidR="00712D54" w:rsidRDefault="00712D54" w:rsidP="00CA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8ABD" w14:textId="77777777" w:rsidR="00CA6CE1" w:rsidRPr="00937A4A" w:rsidRDefault="00CA6CE1" w:rsidP="00CA6CE1">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r w:rsidRPr="00937A4A">
      <w:rPr>
        <w:rFonts w:ascii="Arial" w:hAnsi="Arial" w:cs="Arial"/>
        <w:b/>
        <w:sz w:val="28"/>
      </w:rPr>
      <w:t>Queensland Government</w:t>
    </w:r>
  </w:p>
  <w:p w14:paraId="210E67E7" w14:textId="77777777" w:rsidR="00CA6CE1" w:rsidRPr="00937A4A" w:rsidRDefault="00CA6CE1" w:rsidP="00CA6CE1">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u w:val="single"/>
      </w:rPr>
    </w:pPr>
  </w:p>
  <w:p w14:paraId="40B4CA55" w14:textId="270FD837" w:rsidR="00CA6CE1" w:rsidRPr="00937A4A" w:rsidRDefault="00CA6CE1" w:rsidP="00CA6CE1">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rPr>
    </w:pPr>
    <w:r w:rsidRPr="00937A4A">
      <w:rPr>
        <w:rFonts w:ascii="Arial" w:hAnsi="Arial" w:cs="Arial"/>
        <w:b/>
      </w:rPr>
      <w:t xml:space="preserve">Cabinet – </w:t>
    </w:r>
    <w:r>
      <w:rPr>
        <w:rFonts w:ascii="Arial" w:hAnsi="Arial" w:cs="Arial"/>
        <w:b/>
      </w:rPr>
      <w:t>May 2020</w:t>
    </w:r>
  </w:p>
  <w:p w14:paraId="72C2E84E" w14:textId="46D92EF9" w:rsidR="00CA6CE1" w:rsidRDefault="00CA6CE1" w:rsidP="00CA6CE1">
    <w:pPr>
      <w:pStyle w:val="Header"/>
      <w:spacing w:before="120"/>
      <w:rPr>
        <w:rFonts w:ascii="Arial" w:hAnsi="Arial" w:cs="Arial"/>
        <w:b/>
        <w:u w:val="single"/>
      </w:rPr>
    </w:pPr>
    <w:r>
      <w:rPr>
        <w:rFonts w:ascii="Arial" w:hAnsi="Arial" w:cs="Arial"/>
        <w:b/>
        <w:u w:val="single"/>
      </w:rPr>
      <w:t>Government response to Paradise Dam Commission of Inquiry</w:t>
    </w:r>
  </w:p>
  <w:p w14:paraId="3A56F8D7" w14:textId="5DF2286C" w:rsidR="00CA6CE1" w:rsidRDefault="00CA6CE1" w:rsidP="00CA6CE1">
    <w:pPr>
      <w:pStyle w:val="Header"/>
      <w:spacing w:before="120"/>
      <w:rPr>
        <w:rFonts w:ascii="Arial" w:hAnsi="Arial" w:cs="Arial"/>
        <w:b/>
        <w:u w:val="single"/>
      </w:rPr>
    </w:pPr>
    <w:r>
      <w:rPr>
        <w:rFonts w:ascii="Arial" w:hAnsi="Arial" w:cs="Arial"/>
        <w:b/>
        <w:u w:val="single"/>
      </w:rPr>
      <w:t>Minister for Natural Resources, Mines and Energy</w:t>
    </w:r>
  </w:p>
  <w:p w14:paraId="3595175D" w14:textId="77777777" w:rsidR="00CA6CE1" w:rsidRDefault="00CA6CE1" w:rsidP="00CA6CE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1AF0"/>
    <w:multiLevelType w:val="hybridMultilevel"/>
    <w:tmpl w:val="38D0FE16"/>
    <w:lvl w:ilvl="0" w:tplc="3886F49A">
      <w:start w:val="1"/>
      <w:numFmt w:val="decimal"/>
      <w:lvlText w:val="%1."/>
      <w:lvlJc w:val="left"/>
      <w:pPr>
        <w:ind w:left="577" w:hanging="358"/>
        <w:jc w:val="left"/>
      </w:pPr>
      <w:rPr>
        <w:rFonts w:ascii="Times New Roman" w:eastAsia="Times New Roman" w:hAnsi="Times New Roman" w:cs="Times New Roman" w:hint="default"/>
        <w:spacing w:val="-4"/>
        <w:w w:val="100"/>
        <w:sz w:val="24"/>
        <w:szCs w:val="24"/>
      </w:rPr>
    </w:lvl>
    <w:lvl w:ilvl="1" w:tplc="7BDC2F64">
      <w:numFmt w:val="bullet"/>
      <w:lvlText w:val="•"/>
      <w:lvlJc w:val="left"/>
      <w:pPr>
        <w:ind w:left="1468" w:hanging="358"/>
      </w:pPr>
      <w:rPr>
        <w:rFonts w:hint="default"/>
      </w:rPr>
    </w:lvl>
    <w:lvl w:ilvl="2" w:tplc="9B3CD0AE">
      <w:numFmt w:val="bullet"/>
      <w:lvlText w:val="•"/>
      <w:lvlJc w:val="left"/>
      <w:pPr>
        <w:ind w:left="2357" w:hanging="358"/>
      </w:pPr>
      <w:rPr>
        <w:rFonts w:hint="default"/>
      </w:rPr>
    </w:lvl>
    <w:lvl w:ilvl="3" w:tplc="434C14B6">
      <w:numFmt w:val="bullet"/>
      <w:lvlText w:val="•"/>
      <w:lvlJc w:val="left"/>
      <w:pPr>
        <w:ind w:left="3245" w:hanging="358"/>
      </w:pPr>
      <w:rPr>
        <w:rFonts w:hint="default"/>
      </w:rPr>
    </w:lvl>
    <w:lvl w:ilvl="4" w:tplc="FF8A1178">
      <w:numFmt w:val="bullet"/>
      <w:lvlText w:val="•"/>
      <w:lvlJc w:val="left"/>
      <w:pPr>
        <w:ind w:left="4134" w:hanging="358"/>
      </w:pPr>
      <w:rPr>
        <w:rFonts w:hint="default"/>
      </w:rPr>
    </w:lvl>
    <w:lvl w:ilvl="5" w:tplc="A6824B02">
      <w:numFmt w:val="bullet"/>
      <w:lvlText w:val="•"/>
      <w:lvlJc w:val="left"/>
      <w:pPr>
        <w:ind w:left="5023" w:hanging="358"/>
      </w:pPr>
      <w:rPr>
        <w:rFonts w:hint="default"/>
      </w:rPr>
    </w:lvl>
    <w:lvl w:ilvl="6" w:tplc="001451D0">
      <w:numFmt w:val="bullet"/>
      <w:lvlText w:val="•"/>
      <w:lvlJc w:val="left"/>
      <w:pPr>
        <w:ind w:left="5911" w:hanging="358"/>
      </w:pPr>
      <w:rPr>
        <w:rFonts w:hint="default"/>
      </w:rPr>
    </w:lvl>
    <w:lvl w:ilvl="7" w:tplc="2DF6A5A0">
      <w:numFmt w:val="bullet"/>
      <w:lvlText w:val="•"/>
      <w:lvlJc w:val="left"/>
      <w:pPr>
        <w:ind w:left="6800" w:hanging="358"/>
      </w:pPr>
      <w:rPr>
        <w:rFonts w:hint="default"/>
      </w:rPr>
    </w:lvl>
    <w:lvl w:ilvl="8" w:tplc="8FA672AA">
      <w:numFmt w:val="bullet"/>
      <w:lvlText w:val="•"/>
      <w:lvlJc w:val="left"/>
      <w:pPr>
        <w:ind w:left="7689" w:hanging="358"/>
      </w:pPr>
      <w:rPr>
        <w:rFonts w:hint="default"/>
      </w:rPr>
    </w:lvl>
  </w:abstractNum>
  <w:abstractNum w:abstractNumId="1" w15:restartNumberingAfterBreak="0">
    <w:nsid w:val="11702D8C"/>
    <w:multiLevelType w:val="hybridMultilevel"/>
    <w:tmpl w:val="430ECC2A"/>
    <w:lvl w:ilvl="0" w:tplc="0C09000F">
      <w:start w:val="1"/>
      <w:numFmt w:val="decimal"/>
      <w:lvlText w:val="%1."/>
      <w:lvlJc w:val="left"/>
      <w:pPr>
        <w:ind w:left="580" w:hanging="360"/>
        <w:jc w:val="left"/>
      </w:pPr>
      <w:rPr>
        <w:rFonts w:hint="default"/>
        <w:spacing w:val="-10"/>
        <w:w w:val="100"/>
        <w:sz w:val="24"/>
        <w:szCs w:val="24"/>
      </w:rPr>
    </w:lvl>
    <w:lvl w:ilvl="1" w:tplc="6D9A0C8C">
      <w:numFmt w:val="bullet"/>
      <w:lvlText w:val="•"/>
      <w:lvlJc w:val="left"/>
      <w:pPr>
        <w:ind w:left="1468" w:hanging="360"/>
      </w:pPr>
      <w:rPr>
        <w:rFonts w:hint="default"/>
      </w:rPr>
    </w:lvl>
    <w:lvl w:ilvl="2" w:tplc="C93ECA40">
      <w:numFmt w:val="bullet"/>
      <w:lvlText w:val="•"/>
      <w:lvlJc w:val="left"/>
      <w:pPr>
        <w:ind w:left="2357" w:hanging="360"/>
      </w:pPr>
      <w:rPr>
        <w:rFonts w:hint="default"/>
      </w:rPr>
    </w:lvl>
    <w:lvl w:ilvl="3" w:tplc="A56ED7E4">
      <w:numFmt w:val="bullet"/>
      <w:lvlText w:val="•"/>
      <w:lvlJc w:val="left"/>
      <w:pPr>
        <w:ind w:left="3245" w:hanging="360"/>
      </w:pPr>
      <w:rPr>
        <w:rFonts w:hint="default"/>
      </w:rPr>
    </w:lvl>
    <w:lvl w:ilvl="4" w:tplc="00BEB47A">
      <w:numFmt w:val="bullet"/>
      <w:lvlText w:val="•"/>
      <w:lvlJc w:val="left"/>
      <w:pPr>
        <w:ind w:left="4134" w:hanging="360"/>
      </w:pPr>
      <w:rPr>
        <w:rFonts w:hint="default"/>
      </w:rPr>
    </w:lvl>
    <w:lvl w:ilvl="5" w:tplc="47DC5AC4">
      <w:numFmt w:val="bullet"/>
      <w:lvlText w:val="•"/>
      <w:lvlJc w:val="left"/>
      <w:pPr>
        <w:ind w:left="5023" w:hanging="360"/>
      </w:pPr>
      <w:rPr>
        <w:rFonts w:hint="default"/>
      </w:rPr>
    </w:lvl>
    <w:lvl w:ilvl="6" w:tplc="95B6E3EA">
      <w:numFmt w:val="bullet"/>
      <w:lvlText w:val="•"/>
      <w:lvlJc w:val="left"/>
      <w:pPr>
        <w:ind w:left="5911" w:hanging="360"/>
      </w:pPr>
      <w:rPr>
        <w:rFonts w:hint="default"/>
      </w:rPr>
    </w:lvl>
    <w:lvl w:ilvl="7" w:tplc="35AA4872">
      <w:numFmt w:val="bullet"/>
      <w:lvlText w:val="•"/>
      <w:lvlJc w:val="left"/>
      <w:pPr>
        <w:ind w:left="6800" w:hanging="360"/>
      </w:pPr>
      <w:rPr>
        <w:rFonts w:hint="default"/>
      </w:rPr>
    </w:lvl>
    <w:lvl w:ilvl="8" w:tplc="C8C24208">
      <w:numFmt w:val="bullet"/>
      <w:lvlText w:val="•"/>
      <w:lvlJc w:val="left"/>
      <w:pPr>
        <w:ind w:left="7689" w:hanging="360"/>
      </w:pPr>
      <w:rPr>
        <w:rFonts w:hint="default"/>
      </w:rPr>
    </w:lvl>
  </w:abstractNum>
  <w:abstractNum w:abstractNumId="2" w15:restartNumberingAfterBreak="0">
    <w:nsid w:val="2ABD6207"/>
    <w:multiLevelType w:val="hybridMultilevel"/>
    <w:tmpl w:val="BEEE27A2"/>
    <w:lvl w:ilvl="0" w:tplc="DEA291A2">
      <w:start w:val="1"/>
      <w:numFmt w:val="decimal"/>
      <w:lvlText w:val="%1."/>
      <w:lvlJc w:val="left"/>
      <w:pPr>
        <w:ind w:left="580" w:hanging="360"/>
        <w:jc w:val="left"/>
      </w:pPr>
      <w:rPr>
        <w:rFonts w:ascii="Times New Roman" w:eastAsia="Times New Roman" w:hAnsi="Times New Roman" w:cs="Times New Roman" w:hint="default"/>
        <w:spacing w:val="-10"/>
        <w:w w:val="100"/>
        <w:sz w:val="24"/>
        <w:szCs w:val="24"/>
      </w:rPr>
    </w:lvl>
    <w:lvl w:ilvl="1" w:tplc="6D9A0C8C">
      <w:numFmt w:val="bullet"/>
      <w:lvlText w:val="•"/>
      <w:lvlJc w:val="left"/>
      <w:pPr>
        <w:ind w:left="1468" w:hanging="360"/>
      </w:pPr>
      <w:rPr>
        <w:rFonts w:hint="default"/>
      </w:rPr>
    </w:lvl>
    <w:lvl w:ilvl="2" w:tplc="C93ECA40">
      <w:numFmt w:val="bullet"/>
      <w:lvlText w:val="•"/>
      <w:lvlJc w:val="left"/>
      <w:pPr>
        <w:ind w:left="2357" w:hanging="360"/>
      </w:pPr>
      <w:rPr>
        <w:rFonts w:hint="default"/>
      </w:rPr>
    </w:lvl>
    <w:lvl w:ilvl="3" w:tplc="A56ED7E4">
      <w:numFmt w:val="bullet"/>
      <w:lvlText w:val="•"/>
      <w:lvlJc w:val="left"/>
      <w:pPr>
        <w:ind w:left="3245" w:hanging="360"/>
      </w:pPr>
      <w:rPr>
        <w:rFonts w:hint="default"/>
      </w:rPr>
    </w:lvl>
    <w:lvl w:ilvl="4" w:tplc="00BEB47A">
      <w:numFmt w:val="bullet"/>
      <w:lvlText w:val="•"/>
      <w:lvlJc w:val="left"/>
      <w:pPr>
        <w:ind w:left="4134" w:hanging="360"/>
      </w:pPr>
      <w:rPr>
        <w:rFonts w:hint="default"/>
      </w:rPr>
    </w:lvl>
    <w:lvl w:ilvl="5" w:tplc="47DC5AC4">
      <w:numFmt w:val="bullet"/>
      <w:lvlText w:val="•"/>
      <w:lvlJc w:val="left"/>
      <w:pPr>
        <w:ind w:left="5023" w:hanging="360"/>
      </w:pPr>
      <w:rPr>
        <w:rFonts w:hint="default"/>
      </w:rPr>
    </w:lvl>
    <w:lvl w:ilvl="6" w:tplc="95B6E3EA">
      <w:numFmt w:val="bullet"/>
      <w:lvlText w:val="•"/>
      <w:lvlJc w:val="left"/>
      <w:pPr>
        <w:ind w:left="5911" w:hanging="360"/>
      </w:pPr>
      <w:rPr>
        <w:rFonts w:hint="default"/>
      </w:rPr>
    </w:lvl>
    <w:lvl w:ilvl="7" w:tplc="35AA4872">
      <w:numFmt w:val="bullet"/>
      <w:lvlText w:val="•"/>
      <w:lvlJc w:val="left"/>
      <w:pPr>
        <w:ind w:left="6800" w:hanging="360"/>
      </w:pPr>
      <w:rPr>
        <w:rFonts w:hint="default"/>
      </w:rPr>
    </w:lvl>
    <w:lvl w:ilvl="8" w:tplc="C8C24208">
      <w:numFmt w:val="bullet"/>
      <w:lvlText w:val="•"/>
      <w:lvlJc w:val="left"/>
      <w:pPr>
        <w:ind w:left="7689" w:hanging="360"/>
      </w:pPr>
      <w:rPr>
        <w:rFonts w:hint="default"/>
      </w:rPr>
    </w:lvl>
  </w:abstractNum>
  <w:abstractNum w:abstractNumId="3" w15:restartNumberingAfterBreak="0">
    <w:nsid w:val="44C62DDC"/>
    <w:multiLevelType w:val="hybridMultilevel"/>
    <w:tmpl w:val="FBE40056"/>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4" w15:restartNumberingAfterBreak="0">
    <w:nsid w:val="5A4977AF"/>
    <w:multiLevelType w:val="hybridMultilevel"/>
    <w:tmpl w:val="6F269F4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58"/>
    <w:rsid w:val="001C40CA"/>
    <w:rsid w:val="00576105"/>
    <w:rsid w:val="005A19EE"/>
    <w:rsid w:val="005A66A3"/>
    <w:rsid w:val="00630637"/>
    <w:rsid w:val="00647B58"/>
    <w:rsid w:val="006F12F4"/>
    <w:rsid w:val="00712D54"/>
    <w:rsid w:val="007310CF"/>
    <w:rsid w:val="007D3C60"/>
    <w:rsid w:val="00807DA2"/>
    <w:rsid w:val="00852982"/>
    <w:rsid w:val="0095511D"/>
    <w:rsid w:val="00A97A17"/>
    <w:rsid w:val="00BC0A1C"/>
    <w:rsid w:val="00CA6CE1"/>
    <w:rsid w:val="00CB2EDD"/>
    <w:rsid w:val="00CC141B"/>
    <w:rsid w:val="00D427C0"/>
    <w:rsid w:val="00D47D66"/>
    <w:rsid w:val="00D736E0"/>
    <w:rsid w:val="00EC152D"/>
    <w:rsid w:val="00ED1F5C"/>
    <w:rsid w:val="00F14F8C"/>
    <w:rsid w:val="00F67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7" w:right="215" w:hanging="35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6CE1"/>
    <w:pPr>
      <w:tabs>
        <w:tab w:val="center" w:pos="4513"/>
        <w:tab w:val="right" w:pos="9026"/>
      </w:tabs>
    </w:pPr>
  </w:style>
  <w:style w:type="character" w:customStyle="1" w:styleId="HeaderChar">
    <w:name w:val="Header Char"/>
    <w:basedOn w:val="DefaultParagraphFont"/>
    <w:link w:val="Header"/>
    <w:uiPriority w:val="99"/>
    <w:rsid w:val="00CA6CE1"/>
    <w:rPr>
      <w:rFonts w:ascii="Times New Roman" w:eastAsia="Times New Roman" w:hAnsi="Times New Roman" w:cs="Times New Roman"/>
    </w:rPr>
  </w:style>
  <w:style w:type="paragraph" w:styleId="Footer">
    <w:name w:val="footer"/>
    <w:basedOn w:val="Normal"/>
    <w:link w:val="FooterChar"/>
    <w:uiPriority w:val="99"/>
    <w:unhideWhenUsed/>
    <w:rsid w:val="00CA6CE1"/>
    <w:pPr>
      <w:tabs>
        <w:tab w:val="center" w:pos="4513"/>
        <w:tab w:val="right" w:pos="9026"/>
      </w:tabs>
    </w:pPr>
  </w:style>
  <w:style w:type="character" w:customStyle="1" w:styleId="FooterChar">
    <w:name w:val="Footer Char"/>
    <w:basedOn w:val="DefaultParagraphFont"/>
    <w:link w:val="Footer"/>
    <w:uiPriority w:val="99"/>
    <w:rsid w:val="00CA6CE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4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F8C"/>
    <w:rPr>
      <w:rFonts w:ascii="Segoe UI" w:eastAsia="Times New Roman" w:hAnsi="Segoe UI" w:cs="Segoe UI"/>
      <w:sz w:val="18"/>
      <w:szCs w:val="18"/>
    </w:rPr>
  </w:style>
  <w:style w:type="character" w:styleId="Hyperlink">
    <w:name w:val="Hyperlink"/>
    <w:basedOn w:val="DefaultParagraphFont"/>
    <w:uiPriority w:val="99"/>
    <w:unhideWhenUsed/>
    <w:rsid w:val="00F67156"/>
    <w:rPr>
      <w:color w:val="0000FF" w:themeColor="hyperlink"/>
      <w:u w:val="single"/>
    </w:rPr>
  </w:style>
  <w:style w:type="character" w:styleId="UnresolvedMention">
    <w:name w:val="Unresolved Mention"/>
    <w:basedOn w:val="DefaultParagraphFont"/>
    <w:uiPriority w:val="99"/>
    <w:semiHidden/>
    <w:unhideWhenUsed/>
    <w:rsid w:val="00F67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268E8-D322-416E-8160-75CFD1CB06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34C82-6CF5-4031-8FE6-E289212FD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CA986-1960-428D-ABDD-32C219076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1605</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Microsoft Word - AA Attachment Cover Sheet V2</vt:lpstr>
    </vt:vector>
  </TitlesOfParts>
  <Company/>
  <LinksUpToDate>false</LinksUpToDate>
  <CharactersWithSpaces>1894</CharactersWithSpaces>
  <SharedDoc>false</SharedDoc>
  <HyperlinkBase>https://www.cabinet.qld.gov.au/documents/2020/May/PDamCOI/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 Attachment Cover Sheet V2</dc:title>
  <dc:creator/>
  <cp:lastModifiedBy/>
  <cp:revision>10</cp:revision>
  <cp:lastPrinted>2020-12-11T00:41:00Z</cp:lastPrinted>
  <dcterms:created xsi:type="dcterms:W3CDTF">2020-06-08T23:32:00Z</dcterms:created>
  <dcterms:modified xsi:type="dcterms:W3CDTF">2021-03-09T02:31:00Z</dcterms:modified>
  <cp:category>Water,Safety,Disaster_Management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LastSaved">
    <vt:filetime>2020-05-14T00:00:00Z</vt:filetime>
  </property>
  <property fmtid="{D5CDD505-2E9C-101B-9397-08002B2CF9AE}" pid="4" name="ContentTypeId">
    <vt:lpwstr>0x010100DDE14CFDD070B24F85F5DE43654FF01E</vt:lpwstr>
  </property>
</Properties>
</file>